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3F0D" w14:textId="77777777" w:rsidR="000A01D0" w:rsidRPr="00811D1F" w:rsidRDefault="006847D9" w:rsidP="006847D9">
      <w:pPr>
        <w:spacing w:after="0" w:line="240" w:lineRule="auto"/>
        <w:rPr>
          <w:sz w:val="32"/>
        </w:rPr>
      </w:pPr>
      <w:bookmarkStart w:id="0" w:name="_GoBack"/>
      <w:bookmarkEnd w:id="0"/>
      <w:r w:rsidRPr="00811D1F">
        <w:rPr>
          <w:sz w:val="32"/>
        </w:rPr>
        <w:t>ACCP Clinical Administration PRN</w:t>
      </w:r>
      <w:r w:rsidR="00C16328" w:rsidRPr="00811D1F">
        <w:rPr>
          <w:sz w:val="32"/>
        </w:rPr>
        <w:t xml:space="preserve"> (CADM)</w:t>
      </w:r>
    </w:p>
    <w:p w14:paraId="283D9D48" w14:textId="77777777" w:rsidR="006847D9" w:rsidRPr="00811D1F" w:rsidRDefault="006847D9" w:rsidP="006847D9">
      <w:pPr>
        <w:spacing w:after="0" w:line="240" w:lineRule="auto"/>
        <w:rPr>
          <w:sz w:val="32"/>
        </w:rPr>
      </w:pPr>
      <w:r w:rsidRPr="00811D1F">
        <w:rPr>
          <w:sz w:val="32"/>
        </w:rPr>
        <w:t xml:space="preserve">Summary of CADM Roundtable on </w:t>
      </w:r>
      <w:r w:rsidR="00DD5C37">
        <w:rPr>
          <w:sz w:val="32"/>
        </w:rPr>
        <w:t>Opioid Stewardship Part 1</w:t>
      </w:r>
    </w:p>
    <w:p w14:paraId="5EC7988A" w14:textId="77777777" w:rsidR="00811D1F" w:rsidRDefault="00811D1F" w:rsidP="006847D9">
      <w:pPr>
        <w:spacing w:after="0" w:line="240" w:lineRule="auto"/>
        <w:rPr>
          <w:sz w:val="28"/>
        </w:rPr>
      </w:pPr>
    </w:p>
    <w:p w14:paraId="2A33C79E" w14:textId="77777777" w:rsidR="006847D9" w:rsidRPr="00AF4845" w:rsidRDefault="006847D9" w:rsidP="006847D9">
      <w:pPr>
        <w:spacing w:after="0" w:line="240" w:lineRule="auto"/>
      </w:pPr>
      <w:r w:rsidRPr="00AF4845">
        <w:t xml:space="preserve">Held </w:t>
      </w:r>
      <w:r w:rsidR="00030699">
        <w:t>August</w:t>
      </w:r>
      <w:r w:rsidR="008F1050">
        <w:t xml:space="preserve"> 14, 2018</w:t>
      </w:r>
      <w:r w:rsidRPr="00AF4845">
        <w:t xml:space="preserve">, </w:t>
      </w:r>
      <w:r w:rsidR="005A2D2C">
        <w:t>2</w:t>
      </w:r>
      <w:r w:rsidRPr="00AF4845">
        <w:t xml:space="preserve"> PM</w:t>
      </w:r>
      <w:r w:rsidRPr="00AF4845">
        <w:rPr>
          <w:i/>
        </w:rPr>
        <w:t xml:space="preserve"> </w:t>
      </w:r>
      <w:r w:rsidRPr="00AF4845">
        <w:t>EST</w:t>
      </w:r>
    </w:p>
    <w:p w14:paraId="1F7DB7F1" w14:textId="77777777" w:rsidR="006847D9" w:rsidRPr="00AF4845" w:rsidRDefault="00441860" w:rsidP="006847D9">
      <w:pPr>
        <w:spacing w:after="0" w:line="240" w:lineRule="auto"/>
      </w:pPr>
      <w:r w:rsidRPr="00AF4845">
        <w:t>Coordinator: Cindy Brasher</w:t>
      </w:r>
    </w:p>
    <w:p w14:paraId="35064D3A" w14:textId="77777777" w:rsidR="00441860" w:rsidRPr="00AF4845" w:rsidRDefault="00441860" w:rsidP="006847D9">
      <w:pPr>
        <w:spacing w:after="0" w:line="240" w:lineRule="auto"/>
      </w:pPr>
      <w:r w:rsidRPr="00AF4845">
        <w:t>Facilitator: Nitish Bangalore</w:t>
      </w:r>
    </w:p>
    <w:p w14:paraId="4DCD7825" w14:textId="77777777" w:rsidR="00441860" w:rsidRDefault="00441860" w:rsidP="006847D9">
      <w:pPr>
        <w:spacing w:after="0" w:line="240" w:lineRule="auto"/>
        <w:rPr>
          <w:sz w:val="28"/>
        </w:rPr>
      </w:pPr>
    </w:p>
    <w:p w14:paraId="5E87079E" w14:textId="77777777" w:rsidR="00C16328" w:rsidRPr="00AF4845" w:rsidRDefault="00C16328" w:rsidP="006847D9">
      <w:pPr>
        <w:spacing w:after="0" w:line="240" w:lineRule="auto"/>
        <w:rPr>
          <w:b/>
          <w:u w:val="single"/>
        </w:rPr>
      </w:pPr>
      <w:r w:rsidRPr="00AF4845">
        <w:rPr>
          <w:b/>
          <w:u w:val="single"/>
        </w:rPr>
        <w:t>Introduction/background</w:t>
      </w:r>
    </w:p>
    <w:p w14:paraId="7D3C32FA" w14:textId="77777777" w:rsidR="00C16328" w:rsidRPr="00AF4845" w:rsidRDefault="00C16328" w:rsidP="006847D9">
      <w:pPr>
        <w:spacing w:after="0" w:line="240" w:lineRule="auto"/>
      </w:pPr>
      <w:r w:rsidRPr="00AF4845">
        <w:t xml:space="preserve">Thank you to the </w:t>
      </w:r>
      <w:r w:rsidR="008F1050">
        <w:t>24 or so</w:t>
      </w:r>
      <w:r w:rsidRPr="00AF4845">
        <w:t xml:space="preserve"> participants in our Roundtable discussion. This was </w:t>
      </w:r>
      <w:r w:rsidR="008F1050">
        <w:t xml:space="preserve">the second such Roundtable. </w:t>
      </w:r>
    </w:p>
    <w:p w14:paraId="097CA752" w14:textId="77777777" w:rsidR="00C16328" w:rsidRPr="00AF4845" w:rsidRDefault="00C16328" w:rsidP="006847D9">
      <w:pPr>
        <w:spacing w:after="0" w:line="240" w:lineRule="auto"/>
      </w:pPr>
    </w:p>
    <w:p w14:paraId="0E2BAA11" w14:textId="77777777" w:rsidR="008F1050" w:rsidRDefault="008F1050" w:rsidP="006847D9">
      <w:pPr>
        <w:spacing w:after="0" w:line="240" w:lineRule="auto"/>
      </w:pPr>
      <w:r>
        <w:t>It has been recognized by Education and Research Committee as well as the CADM PRN officers that management of opioids is at or near the top of health-system priorities. There are dozens of potential issues ranging from regulatory/compliance to clinical strategies for abuse prevention and treatment to opioid sparing techniques.</w:t>
      </w:r>
      <w:r w:rsidR="005A2D2C" w:rsidRPr="005A2D2C">
        <w:rPr>
          <w:vertAlign w:val="superscript"/>
        </w:rPr>
        <w:t>1</w:t>
      </w:r>
      <w:r>
        <w:t xml:space="preserve"> The Education and Research Committee selected just a few topics to be discussed in a 30 minute format.</w:t>
      </w:r>
    </w:p>
    <w:p w14:paraId="3C280746" w14:textId="77777777" w:rsidR="008F1050" w:rsidRDefault="008F1050" w:rsidP="006847D9">
      <w:pPr>
        <w:spacing w:after="0" w:line="240" w:lineRule="auto"/>
      </w:pPr>
    </w:p>
    <w:p w14:paraId="66ABCBA3" w14:textId="77777777" w:rsidR="006D5375" w:rsidRPr="008F1050" w:rsidRDefault="008F1050" w:rsidP="006D5375">
      <w:pPr>
        <w:spacing w:after="0" w:line="240" w:lineRule="auto"/>
        <w:rPr>
          <w:b/>
          <w:u w:val="single"/>
        </w:rPr>
      </w:pPr>
      <w:r w:rsidRPr="008F1050">
        <w:rPr>
          <w:b/>
          <w:u w:val="single"/>
        </w:rPr>
        <w:t>Opioid sparing strategies</w:t>
      </w:r>
    </w:p>
    <w:p w14:paraId="67B029CB" w14:textId="77777777" w:rsidR="00352721" w:rsidRDefault="008F1050" w:rsidP="00352721">
      <w:pPr>
        <w:spacing w:after="0" w:line="240" w:lineRule="auto"/>
      </w:pPr>
      <w:r>
        <w:t>Several health systems have developed multimodal pain protocols that are intended to reduce opioid use and needs around surgical procedures.</w:t>
      </w:r>
      <w:r w:rsidR="005A2D2C" w:rsidRPr="005A2D2C">
        <w:rPr>
          <w:vertAlign w:val="superscript"/>
        </w:rPr>
        <w:t>2,3</w:t>
      </w:r>
      <w:r>
        <w:t xml:space="preserve"> </w:t>
      </w:r>
      <w:r w:rsidR="00352721">
        <w:t>Non-opioids such as NSAIDs, local anesthetics, gabapentin, and ketamine, have been used in combination with procedural opioid administration. One health-system studied an opioid-free procedural analgesia strategy for total joint replacements.</w:t>
      </w:r>
      <w:r w:rsidR="005A2D2C">
        <w:rPr>
          <w:vertAlign w:val="superscript"/>
        </w:rPr>
        <w:t>4</w:t>
      </w:r>
      <w:r w:rsidR="00352721">
        <w:t xml:space="preserve"> Most of the combinations of opioids and non-opioids have been tailored to procedure type or service preferences.</w:t>
      </w:r>
    </w:p>
    <w:p w14:paraId="6C403B11" w14:textId="77777777" w:rsidR="00352721" w:rsidRDefault="00352721" w:rsidP="00352721">
      <w:pPr>
        <w:spacing w:after="0" w:line="240" w:lineRule="auto"/>
      </w:pPr>
    </w:p>
    <w:p w14:paraId="7726F1B6" w14:textId="77777777" w:rsidR="008F1050" w:rsidRDefault="00352721" w:rsidP="006D5375">
      <w:pPr>
        <w:spacing w:after="0" w:line="240" w:lineRule="auto"/>
      </w:pPr>
      <w:r>
        <w:t>The use of non-opioid analgesia has been generally well tolerated. However, there</w:t>
      </w:r>
      <w:r w:rsidR="008F1050">
        <w:t xml:space="preserve"> have been mixed results with regard to reduction in postoperative opioid consumption. Some systems are planning on reviewing potential differences in nausea and vomiting, constipation, and paralytic ileus.</w:t>
      </w:r>
    </w:p>
    <w:p w14:paraId="2C13BABF" w14:textId="77777777" w:rsidR="00352721" w:rsidRDefault="00352721" w:rsidP="006D5375">
      <w:pPr>
        <w:spacing w:after="0" w:line="240" w:lineRule="auto"/>
      </w:pPr>
    </w:p>
    <w:p w14:paraId="0BEFECF5" w14:textId="77777777" w:rsidR="00352721" w:rsidRPr="00352721" w:rsidRDefault="00352721" w:rsidP="006D5375">
      <w:pPr>
        <w:spacing w:after="0" w:line="240" w:lineRule="auto"/>
      </w:pPr>
      <w:r>
        <w:t xml:space="preserve">One health-system has developed non-pharmacologic </w:t>
      </w:r>
      <w:r w:rsidR="005A2D2C">
        <w:t>strategies.</w:t>
      </w:r>
      <w:r w:rsidR="005A2D2C">
        <w:rPr>
          <w:vertAlign w:val="superscript"/>
        </w:rPr>
        <w:t>5</w:t>
      </w:r>
      <w:r w:rsidR="005A2D2C">
        <w:t xml:space="preserve"> This</w:t>
      </w:r>
      <w:r>
        <w:t xml:space="preserve"> includes distraction, music, heat, cold, and positioning.</w:t>
      </w:r>
    </w:p>
    <w:p w14:paraId="0E6235FE" w14:textId="77777777" w:rsidR="00935636" w:rsidRDefault="00935636" w:rsidP="006D5375">
      <w:pPr>
        <w:spacing w:after="0" w:line="240" w:lineRule="auto"/>
      </w:pPr>
    </w:p>
    <w:p w14:paraId="68BE1395" w14:textId="77777777" w:rsidR="008F1050" w:rsidRPr="008F1050" w:rsidRDefault="00352721" w:rsidP="006D5375">
      <w:pPr>
        <w:spacing w:after="0" w:line="240" w:lineRule="auto"/>
        <w:rPr>
          <w:b/>
          <w:u w:val="single"/>
        </w:rPr>
      </w:pPr>
      <w:r>
        <w:rPr>
          <w:b/>
          <w:u w:val="single"/>
        </w:rPr>
        <w:t>Outpatient prescribing</w:t>
      </w:r>
    </w:p>
    <w:p w14:paraId="5F0231D0" w14:textId="77777777" w:rsidR="00352721" w:rsidRDefault="00352721" w:rsidP="006D5375">
      <w:pPr>
        <w:spacing w:after="0" w:line="240" w:lineRule="auto"/>
      </w:pPr>
      <w:r>
        <w:t>Many states require that prescribers check the Prescription Drug Monitoring Database (PDMP). Some of those require documentation of that check, by whom, and when. Health-systems report struggling with the documentation of this check and auditing to detect failure to document.</w:t>
      </w:r>
    </w:p>
    <w:p w14:paraId="723DEDF9" w14:textId="77777777" w:rsidR="00352721" w:rsidRDefault="00352721" w:rsidP="006D5375">
      <w:pPr>
        <w:spacing w:after="0" w:line="240" w:lineRule="auto"/>
      </w:pPr>
    </w:p>
    <w:p w14:paraId="4CDF5B7F" w14:textId="77777777" w:rsidR="008F1050" w:rsidRDefault="00352721" w:rsidP="006D5375">
      <w:pPr>
        <w:spacing w:after="0" w:line="240" w:lineRule="auto"/>
      </w:pPr>
      <w:r>
        <w:t xml:space="preserve">Some health-systems have developed guidelines for quantities of oral opioids for discharge. One example was shared with </w:t>
      </w:r>
      <w:r w:rsidR="005A2D2C">
        <w:t>the PRN.</w:t>
      </w:r>
      <w:r w:rsidR="005A2D2C">
        <w:rPr>
          <w:vertAlign w:val="superscript"/>
        </w:rPr>
        <w:t>2</w:t>
      </w:r>
      <w:r w:rsidR="005A2D2C">
        <w:t xml:space="preserve"> It was developed by providers for specific procedure types and service lines. Such guidelines have been helpful in decreasing opioid quantities at discharge. This does require education and engagement of the entire team to address patient concerns about having inadequate quantities for post-discharge use.</w:t>
      </w:r>
    </w:p>
    <w:p w14:paraId="2FC602A9" w14:textId="77777777" w:rsidR="005A2D2C" w:rsidRDefault="005A2D2C" w:rsidP="006D5375">
      <w:pPr>
        <w:spacing w:after="0" w:line="240" w:lineRule="auto"/>
      </w:pPr>
    </w:p>
    <w:p w14:paraId="5A60D9F8" w14:textId="77777777" w:rsidR="005A2D2C" w:rsidRPr="005A2D2C" w:rsidRDefault="005A2D2C" w:rsidP="006D5375">
      <w:pPr>
        <w:spacing w:after="0" w:line="240" w:lineRule="auto"/>
        <w:rPr>
          <w:b/>
          <w:u w:val="single"/>
        </w:rPr>
      </w:pPr>
      <w:r w:rsidRPr="005A2D2C">
        <w:rPr>
          <w:b/>
          <w:u w:val="single"/>
        </w:rPr>
        <w:t>FTEs for opioid management</w:t>
      </w:r>
    </w:p>
    <w:p w14:paraId="5096F15C" w14:textId="77777777" w:rsidR="005A2D2C" w:rsidRPr="005A2D2C" w:rsidRDefault="005A2D2C" w:rsidP="006D5375">
      <w:pPr>
        <w:spacing w:after="0" w:line="240" w:lineRule="auto"/>
      </w:pPr>
      <w:r>
        <w:t xml:space="preserve">One participant is a Pain and Palliative Care Stewardship Pharmacist. This role was created as a result of administration recognition of the need for specialist attention to the various challenges and opportunities facing the organization. </w:t>
      </w:r>
    </w:p>
    <w:p w14:paraId="49B63056" w14:textId="77777777" w:rsidR="008F1050" w:rsidRDefault="008F1050" w:rsidP="006D5375">
      <w:pPr>
        <w:spacing w:after="0" w:line="240" w:lineRule="auto"/>
      </w:pPr>
    </w:p>
    <w:p w14:paraId="6D692BE1" w14:textId="77777777" w:rsidR="008F1050" w:rsidRPr="00AF4845" w:rsidRDefault="008F1050" w:rsidP="006D5375">
      <w:pPr>
        <w:spacing w:after="0" w:line="240" w:lineRule="auto"/>
      </w:pPr>
    </w:p>
    <w:p w14:paraId="76C5525E" w14:textId="77777777" w:rsidR="006D5375" w:rsidRPr="00AF4845" w:rsidRDefault="006D5375" w:rsidP="006D5375">
      <w:pPr>
        <w:spacing w:after="0" w:line="240" w:lineRule="auto"/>
        <w:rPr>
          <w:b/>
          <w:u w:val="single"/>
        </w:rPr>
      </w:pPr>
      <w:r w:rsidRPr="00AF4845">
        <w:rPr>
          <w:b/>
          <w:u w:val="single"/>
        </w:rPr>
        <w:t>Additional information</w:t>
      </w:r>
    </w:p>
    <w:p w14:paraId="0AF5D544" w14:textId="77777777" w:rsidR="005A2D2C" w:rsidRDefault="005A2D2C" w:rsidP="005A2D2C">
      <w:pPr>
        <w:pStyle w:val="ListParagraph"/>
        <w:numPr>
          <w:ilvl w:val="0"/>
          <w:numId w:val="37"/>
        </w:numPr>
      </w:pPr>
      <w:r>
        <w:t xml:space="preserve">The Joint Commission. </w:t>
      </w:r>
      <w:r w:rsidRPr="005A2D2C">
        <w:rPr>
          <w:i/>
        </w:rPr>
        <w:t>Perspectives: The Official Newsletter of The Joint Commission</w:t>
      </w:r>
      <w:r>
        <w:t>. 37(7</w:t>
      </w:r>
      <w:proofErr w:type="gramStart"/>
      <w:r>
        <w:t>);July</w:t>
      </w:r>
      <w:proofErr w:type="gramEnd"/>
      <w:r>
        <w:t xml:space="preserve"> 2017. </w:t>
      </w:r>
      <w:hyperlink r:id="rId7" w:history="1">
        <w:r w:rsidRPr="001154C1">
          <w:rPr>
            <w:rStyle w:val="Hyperlink"/>
          </w:rPr>
          <w:t>https://www.jointcommission.org/assets/1/18/Joint_Commission_Enhances_Pain_Assessment_and_Management_Requirements_for_Accredited_Hospitals1.PDF</w:t>
        </w:r>
      </w:hyperlink>
      <w:r>
        <w:t>. Accessed Aug 14, 2018.</w:t>
      </w:r>
    </w:p>
    <w:p w14:paraId="14034196" w14:textId="77777777" w:rsidR="00935636" w:rsidRPr="00935636" w:rsidRDefault="00935636" w:rsidP="005A2D2C">
      <w:pPr>
        <w:pStyle w:val="ListParagraph"/>
        <w:numPr>
          <w:ilvl w:val="0"/>
          <w:numId w:val="37"/>
        </w:numPr>
      </w:pPr>
      <w:proofErr w:type="spellStart"/>
      <w:r w:rsidRPr="00935636">
        <w:t>Markary</w:t>
      </w:r>
      <w:proofErr w:type="spellEnd"/>
      <w:r w:rsidRPr="00935636">
        <w:t xml:space="preserve"> M, Hanna M.</w:t>
      </w:r>
      <w:r>
        <w:t xml:space="preserve"> </w:t>
      </w:r>
      <w:r w:rsidRPr="00935636">
        <w:t xml:space="preserve"> </w:t>
      </w:r>
      <w:r w:rsidRPr="005A2D2C">
        <w:rPr>
          <w:i/>
        </w:rPr>
        <w:t>Johns Hopkins Post-Surgical Pain Management Guidelines: Multimodal analgesia and Opioid Prescribing recommendation for narcotic naïve patient</w:t>
      </w:r>
      <w:r w:rsidRPr="00935636">
        <w:t>. Feb 15</w:t>
      </w:r>
      <w:r w:rsidRPr="005A2D2C">
        <w:rPr>
          <w:vertAlign w:val="superscript"/>
        </w:rPr>
        <w:t>th</w:t>
      </w:r>
      <w:r w:rsidRPr="00935636">
        <w:t>, 2018. [See attached]</w:t>
      </w:r>
    </w:p>
    <w:p w14:paraId="5BF7CD97" w14:textId="77777777" w:rsidR="00352721" w:rsidRDefault="00352721" w:rsidP="005A2D2C">
      <w:pPr>
        <w:pStyle w:val="ListParagraph"/>
        <w:numPr>
          <w:ilvl w:val="0"/>
          <w:numId w:val="37"/>
        </w:numPr>
        <w:spacing w:after="0" w:line="240" w:lineRule="auto"/>
      </w:pPr>
      <w:r>
        <w:t xml:space="preserve">Center for Opioid Research and Education. Surgical Opioid Guidelines. </w:t>
      </w:r>
      <w:hyperlink r:id="rId8" w:history="1">
        <w:r>
          <w:rPr>
            <w:rStyle w:val="Hyperlink"/>
          </w:rPr>
          <w:t>https://www.solvethecrisis.org/best-practices</w:t>
        </w:r>
      </w:hyperlink>
      <w:r>
        <w:t>. Accessed Aug 14, 2018.</w:t>
      </w:r>
    </w:p>
    <w:p w14:paraId="4C96F93D" w14:textId="77777777" w:rsidR="00352721" w:rsidRDefault="00352721" w:rsidP="005A2D2C">
      <w:pPr>
        <w:pStyle w:val="ListParagraph"/>
        <w:numPr>
          <w:ilvl w:val="0"/>
          <w:numId w:val="37"/>
        </w:numPr>
      </w:pPr>
      <w:r>
        <w:t xml:space="preserve">Coles B. </w:t>
      </w:r>
      <w:r w:rsidRPr="005A2D2C">
        <w:rPr>
          <w:i/>
        </w:rPr>
        <w:t>Post-Operative Opioid Utilization Following Intraoperative Opioid-Free Management for Total Hip and Knee Replacement</w:t>
      </w:r>
      <w:r>
        <w:t>. Locally presented presentation. [See attached]</w:t>
      </w:r>
    </w:p>
    <w:p w14:paraId="56E47BC4" w14:textId="77777777" w:rsidR="00935636" w:rsidRDefault="00935636" w:rsidP="005A2D2C">
      <w:pPr>
        <w:pStyle w:val="ListParagraph"/>
        <w:numPr>
          <w:ilvl w:val="0"/>
          <w:numId w:val="37"/>
        </w:numPr>
        <w:spacing w:after="0" w:line="240" w:lineRule="auto"/>
      </w:pPr>
      <w:r>
        <w:t xml:space="preserve">University of Florida College of Medicine-Jacksonville. Pain Assessment and Management Initiative. </w:t>
      </w:r>
      <w:hyperlink r:id="rId9" w:history="1">
        <w:r w:rsidRPr="001154C1">
          <w:rPr>
            <w:rStyle w:val="Hyperlink"/>
          </w:rPr>
          <w:t>http://pami.emergency.med.jax.ufl.edu/</w:t>
        </w:r>
      </w:hyperlink>
      <w:r>
        <w:t>. Accessed Aug 14, 2018.</w:t>
      </w:r>
    </w:p>
    <w:p w14:paraId="166CE98B" w14:textId="77777777" w:rsidR="00935636" w:rsidRDefault="00935636" w:rsidP="006D5375">
      <w:pPr>
        <w:spacing w:after="0" w:line="240" w:lineRule="auto"/>
      </w:pPr>
    </w:p>
    <w:p w14:paraId="6B483D14" w14:textId="77777777" w:rsidR="00935636" w:rsidRPr="00AF4845" w:rsidRDefault="00935636" w:rsidP="006D5375">
      <w:pPr>
        <w:spacing w:after="0" w:line="240" w:lineRule="auto"/>
      </w:pPr>
    </w:p>
    <w:p w14:paraId="4D5C2253" w14:textId="77777777" w:rsidR="006D5375" w:rsidRPr="00AF4845" w:rsidRDefault="006D5375" w:rsidP="006D5375">
      <w:pPr>
        <w:spacing w:after="0" w:line="240" w:lineRule="auto"/>
        <w:rPr>
          <w:b/>
          <w:u w:val="single"/>
        </w:rPr>
      </w:pPr>
      <w:r w:rsidRPr="00AF4845">
        <w:rPr>
          <w:b/>
          <w:u w:val="single"/>
        </w:rPr>
        <w:t>Future topics</w:t>
      </w:r>
    </w:p>
    <w:p w14:paraId="629D9FF2" w14:textId="77777777" w:rsidR="00935636" w:rsidRDefault="005A2D2C">
      <w:r>
        <w:t>It was decided that another Roundtable on this topic would be hosted. The subtopic will be regulatory aspects of opioid management.</w:t>
      </w:r>
    </w:p>
    <w:sectPr w:rsidR="009356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0D21" w14:textId="77777777" w:rsidR="00CD2D86" w:rsidRDefault="00CD2D86" w:rsidP="00AF4845">
      <w:pPr>
        <w:spacing w:after="0" w:line="240" w:lineRule="auto"/>
      </w:pPr>
      <w:r>
        <w:separator/>
      </w:r>
    </w:p>
  </w:endnote>
  <w:endnote w:type="continuationSeparator" w:id="0">
    <w:p w14:paraId="4DA3D127" w14:textId="77777777" w:rsidR="00CD2D86" w:rsidRDefault="00CD2D86" w:rsidP="00AF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1619" w14:textId="77777777" w:rsidR="00935636" w:rsidRDefault="00935636">
    <w:pPr>
      <w:pStyle w:val="Footer"/>
    </w:pPr>
    <w:r>
      <w:t xml:space="preserve">Page </w:t>
    </w:r>
    <w:r>
      <w:fldChar w:fldCharType="begin"/>
    </w:r>
    <w:r>
      <w:instrText xml:space="preserve"> PAGE   \* MERGEFORMAT </w:instrText>
    </w:r>
    <w:r>
      <w:fldChar w:fldCharType="separate"/>
    </w:r>
    <w:r w:rsidR="00F3123B">
      <w:rPr>
        <w:noProof/>
      </w:rPr>
      <w:t>2</w:t>
    </w:r>
    <w:r>
      <w:fldChar w:fldCharType="end"/>
    </w:r>
    <w:r>
      <w:t xml:space="preserve"> of </w:t>
    </w:r>
    <w:r w:rsidR="00CD2D86">
      <w:rPr>
        <w:noProof/>
      </w:rPr>
      <w:fldChar w:fldCharType="begin"/>
    </w:r>
    <w:r w:rsidR="00CD2D86">
      <w:rPr>
        <w:noProof/>
      </w:rPr>
      <w:instrText xml:space="preserve"> NUMPAGES   \* MERGEFORMAT </w:instrText>
    </w:r>
    <w:r w:rsidR="00CD2D86">
      <w:rPr>
        <w:noProof/>
      </w:rPr>
      <w:fldChar w:fldCharType="separate"/>
    </w:r>
    <w:r w:rsidR="00F3123B">
      <w:rPr>
        <w:noProof/>
      </w:rPr>
      <w:t>2</w:t>
    </w:r>
    <w:r w:rsidR="00CD2D86">
      <w:rPr>
        <w:noProof/>
      </w:rPr>
      <w:fldChar w:fldCharType="end"/>
    </w:r>
  </w:p>
  <w:p w14:paraId="1DF3C18F" w14:textId="77777777" w:rsidR="00935636" w:rsidRDefault="00935636">
    <w:pPr>
      <w:pStyle w:val="Footer"/>
    </w:pPr>
    <w:r>
      <w:t>CADM Roundtable on Opioid Management Topics part 1</w:t>
    </w:r>
  </w:p>
  <w:p w14:paraId="2B5543D2" w14:textId="77777777" w:rsidR="00935636" w:rsidRDefault="00935636">
    <w:pPr>
      <w:pStyle w:val="Footer"/>
    </w:pPr>
    <w:r>
      <w:t>Aug 14,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1F4E" w14:textId="77777777" w:rsidR="00CD2D86" w:rsidRDefault="00CD2D86" w:rsidP="00AF4845">
      <w:pPr>
        <w:spacing w:after="0" w:line="240" w:lineRule="auto"/>
      </w:pPr>
      <w:r>
        <w:separator/>
      </w:r>
    </w:p>
  </w:footnote>
  <w:footnote w:type="continuationSeparator" w:id="0">
    <w:p w14:paraId="1CB202C2" w14:textId="77777777" w:rsidR="00CD2D86" w:rsidRDefault="00CD2D86" w:rsidP="00AF4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A7D"/>
    <w:multiLevelType w:val="hybridMultilevel"/>
    <w:tmpl w:val="B3B4A2A2"/>
    <w:lvl w:ilvl="0" w:tplc="0E8EB5FA">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FA73B2"/>
    <w:multiLevelType w:val="hybridMultilevel"/>
    <w:tmpl w:val="8F0ADE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51C7F"/>
    <w:multiLevelType w:val="hybridMultilevel"/>
    <w:tmpl w:val="9D3ECC74"/>
    <w:lvl w:ilvl="0" w:tplc="7932E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651C4"/>
    <w:multiLevelType w:val="hybridMultilevel"/>
    <w:tmpl w:val="2ABE46BA"/>
    <w:lvl w:ilvl="0" w:tplc="E9761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605D11"/>
    <w:multiLevelType w:val="hybridMultilevel"/>
    <w:tmpl w:val="5DEEDF70"/>
    <w:lvl w:ilvl="0" w:tplc="40268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10BA1"/>
    <w:multiLevelType w:val="hybridMultilevel"/>
    <w:tmpl w:val="3B42A642"/>
    <w:lvl w:ilvl="0" w:tplc="5798DB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7141C"/>
    <w:multiLevelType w:val="hybridMultilevel"/>
    <w:tmpl w:val="CAC0B88A"/>
    <w:lvl w:ilvl="0" w:tplc="0E8EB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43331"/>
    <w:multiLevelType w:val="hybridMultilevel"/>
    <w:tmpl w:val="236C2EBA"/>
    <w:lvl w:ilvl="0" w:tplc="DE4EED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533B70"/>
    <w:multiLevelType w:val="hybridMultilevel"/>
    <w:tmpl w:val="29F060FC"/>
    <w:lvl w:ilvl="0" w:tplc="7124D9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E70F95"/>
    <w:multiLevelType w:val="hybridMultilevel"/>
    <w:tmpl w:val="00400E90"/>
    <w:lvl w:ilvl="0" w:tplc="E9AE6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B70296"/>
    <w:multiLevelType w:val="hybridMultilevel"/>
    <w:tmpl w:val="A718C20E"/>
    <w:lvl w:ilvl="0" w:tplc="3D287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290A2C"/>
    <w:multiLevelType w:val="hybridMultilevel"/>
    <w:tmpl w:val="F0BE57FE"/>
    <w:lvl w:ilvl="0" w:tplc="33EE8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437534"/>
    <w:multiLevelType w:val="hybridMultilevel"/>
    <w:tmpl w:val="B45A984A"/>
    <w:lvl w:ilvl="0" w:tplc="233869DC">
      <w:start w:val="1"/>
      <w:numFmt w:val="low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2A0274"/>
    <w:multiLevelType w:val="hybridMultilevel"/>
    <w:tmpl w:val="B192E200"/>
    <w:lvl w:ilvl="0" w:tplc="ADD2C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106A26"/>
    <w:multiLevelType w:val="hybridMultilevel"/>
    <w:tmpl w:val="F72C02B4"/>
    <w:lvl w:ilvl="0" w:tplc="9A542F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313AD3"/>
    <w:multiLevelType w:val="hybridMultilevel"/>
    <w:tmpl w:val="7F1A8E4A"/>
    <w:lvl w:ilvl="0" w:tplc="A746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F735D3"/>
    <w:multiLevelType w:val="hybridMultilevel"/>
    <w:tmpl w:val="96548590"/>
    <w:lvl w:ilvl="0" w:tplc="5C3E4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851F24"/>
    <w:multiLevelType w:val="hybridMultilevel"/>
    <w:tmpl w:val="460A70BE"/>
    <w:lvl w:ilvl="0" w:tplc="1730F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80DD6"/>
    <w:multiLevelType w:val="hybridMultilevel"/>
    <w:tmpl w:val="47C4C154"/>
    <w:lvl w:ilvl="0" w:tplc="C0C61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F868C2"/>
    <w:multiLevelType w:val="hybridMultilevel"/>
    <w:tmpl w:val="8182C6C6"/>
    <w:lvl w:ilvl="0" w:tplc="FF449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62379A"/>
    <w:multiLevelType w:val="hybridMultilevel"/>
    <w:tmpl w:val="E29CFFB6"/>
    <w:lvl w:ilvl="0" w:tplc="7480E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C4AB4"/>
    <w:multiLevelType w:val="hybridMultilevel"/>
    <w:tmpl w:val="D4D4637E"/>
    <w:lvl w:ilvl="0" w:tplc="9DCC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D92393"/>
    <w:multiLevelType w:val="hybridMultilevel"/>
    <w:tmpl w:val="D4A2D114"/>
    <w:lvl w:ilvl="0" w:tplc="239C8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1524EA"/>
    <w:multiLevelType w:val="hybridMultilevel"/>
    <w:tmpl w:val="C08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A6F93"/>
    <w:multiLevelType w:val="hybridMultilevel"/>
    <w:tmpl w:val="89667F3E"/>
    <w:lvl w:ilvl="0" w:tplc="025AB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00F95"/>
    <w:multiLevelType w:val="hybridMultilevel"/>
    <w:tmpl w:val="20DE5F3A"/>
    <w:lvl w:ilvl="0" w:tplc="886C3BCA">
      <w:numFmt w:val="bullet"/>
      <w:lvlText w:val="-"/>
      <w:lvlJc w:val="left"/>
      <w:pPr>
        <w:ind w:left="720" w:hanging="360"/>
      </w:pPr>
      <w:rPr>
        <w:rFonts w:ascii="Calibri" w:eastAsiaTheme="minorHAnsi" w:hAnsi="Calibri"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A3C89"/>
    <w:multiLevelType w:val="hybridMultilevel"/>
    <w:tmpl w:val="A45E4D88"/>
    <w:lvl w:ilvl="0" w:tplc="BCF22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433B52"/>
    <w:multiLevelType w:val="hybridMultilevel"/>
    <w:tmpl w:val="0AC43A90"/>
    <w:lvl w:ilvl="0" w:tplc="0E8EB5FA">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9941AC"/>
    <w:multiLevelType w:val="hybridMultilevel"/>
    <w:tmpl w:val="577E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96F36"/>
    <w:multiLevelType w:val="hybridMultilevel"/>
    <w:tmpl w:val="902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4766B"/>
    <w:multiLevelType w:val="hybridMultilevel"/>
    <w:tmpl w:val="2D32297E"/>
    <w:lvl w:ilvl="0" w:tplc="F7C60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910563"/>
    <w:multiLevelType w:val="hybridMultilevel"/>
    <w:tmpl w:val="2D3A6EB8"/>
    <w:lvl w:ilvl="0" w:tplc="8996B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E6810"/>
    <w:multiLevelType w:val="hybridMultilevel"/>
    <w:tmpl w:val="71A67BB0"/>
    <w:lvl w:ilvl="0" w:tplc="BB74C9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CE4705"/>
    <w:multiLevelType w:val="hybridMultilevel"/>
    <w:tmpl w:val="20D4C7B8"/>
    <w:lvl w:ilvl="0" w:tplc="BC8E4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2B7BA3"/>
    <w:multiLevelType w:val="hybridMultilevel"/>
    <w:tmpl w:val="8EFE3652"/>
    <w:lvl w:ilvl="0" w:tplc="FC281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737334"/>
    <w:multiLevelType w:val="hybridMultilevel"/>
    <w:tmpl w:val="E018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F470B"/>
    <w:multiLevelType w:val="hybridMultilevel"/>
    <w:tmpl w:val="2ABE46BA"/>
    <w:lvl w:ilvl="0" w:tplc="E9761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8"/>
  </w:num>
  <w:num w:numId="3">
    <w:abstractNumId w:val="23"/>
  </w:num>
  <w:num w:numId="4">
    <w:abstractNumId w:val="5"/>
  </w:num>
  <w:num w:numId="5">
    <w:abstractNumId w:val="30"/>
  </w:num>
  <w:num w:numId="6">
    <w:abstractNumId w:val="4"/>
  </w:num>
  <w:num w:numId="7">
    <w:abstractNumId w:val="19"/>
  </w:num>
  <w:num w:numId="8">
    <w:abstractNumId w:val="25"/>
  </w:num>
  <w:num w:numId="9">
    <w:abstractNumId w:val="32"/>
  </w:num>
  <w:num w:numId="10">
    <w:abstractNumId w:val="14"/>
  </w:num>
  <w:num w:numId="11">
    <w:abstractNumId w:val="22"/>
  </w:num>
  <w:num w:numId="12">
    <w:abstractNumId w:val="31"/>
  </w:num>
  <w:num w:numId="13">
    <w:abstractNumId w:val="15"/>
  </w:num>
  <w:num w:numId="14">
    <w:abstractNumId w:val="12"/>
  </w:num>
  <w:num w:numId="15">
    <w:abstractNumId w:val="21"/>
  </w:num>
  <w:num w:numId="16">
    <w:abstractNumId w:val="18"/>
  </w:num>
  <w:num w:numId="17">
    <w:abstractNumId w:val="3"/>
  </w:num>
  <w:num w:numId="18">
    <w:abstractNumId w:val="17"/>
  </w:num>
  <w:num w:numId="19">
    <w:abstractNumId w:val="9"/>
  </w:num>
  <w:num w:numId="20">
    <w:abstractNumId w:val="8"/>
  </w:num>
  <w:num w:numId="21">
    <w:abstractNumId w:val="13"/>
  </w:num>
  <w:num w:numId="22">
    <w:abstractNumId w:val="26"/>
  </w:num>
  <w:num w:numId="23">
    <w:abstractNumId w:val="34"/>
  </w:num>
  <w:num w:numId="24">
    <w:abstractNumId w:val="33"/>
  </w:num>
  <w:num w:numId="25">
    <w:abstractNumId w:val="11"/>
  </w:num>
  <w:num w:numId="26">
    <w:abstractNumId w:val="24"/>
  </w:num>
  <w:num w:numId="27">
    <w:abstractNumId w:val="2"/>
  </w:num>
  <w:num w:numId="28">
    <w:abstractNumId w:val="7"/>
  </w:num>
  <w:num w:numId="29">
    <w:abstractNumId w:val="36"/>
  </w:num>
  <w:num w:numId="30">
    <w:abstractNumId w:val="20"/>
  </w:num>
  <w:num w:numId="31">
    <w:abstractNumId w:val="16"/>
  </w:num>
  <w:num w:numId="32">
    <w:abstractNumId w:val="10"/>
  </w:num>
  <w:num w:numId="33">
    <w:abstractNumId w:val="6"/>
  </w:num>
  <w:num w:numId="34">
    <w:abstractNumId w:val="27"/>
  </w:num>
  <w:num w:numId="35">
    <w:abstractNumId w:val="0"/>
  </w:num>
  <w:num w:numId="36">
    <w:abstractNumId w:val="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D9"/>
    <w:rsid w:val="00030699"/>
    <w:rsid w:val="000531BA"/>
    <w:rsid w:val="000A01D0"/>
    <w:rsid w:val="002B6489"/>
    <w:rsid w:val="00346BF4"/>
    <w:rsid w:val="00352721"/>
    <w:rsid w:val="00441860"/>
    <w:rsid w:val="005A2D2C"/>
    <w:rsid w:val="006847D9"/>
    <w:rsid w:val="006D5375"/>
    <w:rsid w:val="00811D1F"/>
    <w:rsid w:val="008F1050"/>
    <w:rsid w:val="00935636"/>
    <w:rsid w:val="00A0704A"/>
    <w:rsid w:val="00AF4845"/>
    <w:rsid w:val="00B87571"/>
    <w:rsid w:val="00C16328"/>
    <w:rsid w:val="00CD2D86"/>
    <w:rsid w:val="00DD5C37"/>
    <w:rsid w:val="00F3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BEC0"/>
  <w15:docId w15:val="{9962CFDA-2888-B648-976D-1A598815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71"/>
    <w:pPr>
      <w:ind w:left="720"/>
      <w:contextualSpacing/>
    </w:pPr>
  </w:style>
  <w:style w:type="character" w:styleId="Hyperlink">
    <w:name w:val="Hyperlink"/>
    <w:basedOn w:val="DefaultParagraphFont"/>
    <w:uiPriority w:val="99"/>
    <w:unhideWhenUsed/>
    <w:rsid w:val="006D5375"/>
    <w:rPr>
      <w:color w:val="0000FF" w:themeColor="hyperlink"/>
      <w:u w:val="single"/>
    </w:rPr>
  </w:style>
  <w:style w:type="paragraph" w:styleId="Header">
    <w:name w:val="header"/>
    <w:basedOn w:val="Normal"/>
    <w:link w:val="HeaderChar"/>
    <w:uiPriority w:val="99"/>
    <w:unhideWhenUsed/>
    <w:rsid w:val="00AF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45"/>
  </w:style>
  <w:style w:type="paragraph" w:styleId="Footer">
    <w:name w:val="footer"/>
    <w:basedOn w:val="Normal"/>
    <w:link w:val="FooterChar"/>
    <w:uiPriority w:val="99"/>
    <w:unhideWhenUsed/>
    <w:rsid w:val="00AF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45"/>
  </w:style>
  <w:style w:type="table" w:styleId="TableGrid">
    <w:name w:val="Table Grid"/>
    <w:basedOn w:val="TableNormal"/>
    <w:uiPriority w:val="39"/>
    <w:rsid w:val="0093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2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va91-ctp.trendmicro.com:443/wis/clicktime/v1/query?url=https%3a%2f%2fwww.solvethecrisis.org%2fbest%2dpractices&amp;umid=AB1E4A41-7369-9B05-BAA9-EEBD209B077D&amp;auth=f717728ea12e7e4b3bc261b22673ae2801b01ac9-9275854121bc80a7c4f2e65d961775f4052d6ef4" TargetMode="External"/><Relationship Id="rId3" Type="http://schemas.openxmlformats.org/officeDocument/2006/relationships/settings" Target="settings.xml"/><Relationship Id="rId7" Type="http://schemas.openxmlformats.org/officeDocument/2006/relationships/hyperlink" Target="https://www.jointcommission.org/assets/1/18/Joint_Commission_Enhances_Pain_Assessment_and_Management_Requirements_for_Accredited_Hospitals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mi.emergency.med.jax.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Nitish Bangalore</dc:creator>
  <cp:lastModifiedBy>Charnae Ross</cp:lastModifiedBy>
  <cp:revision>2</cp:revision>
  <dcterms:created xsi:type="dcterms:W3CDTF">2018-10-16T21:18:00Z</dcterms:created>
  <dcterms:modified xsi:type="dcterms:W3CDTF">2018-10-16T21:18:00Z</dcterms:modified>
</cp:coreProperties>
</file>